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56" w:type="dxa"/>
        <w:tblInd w:w="-552" w:type="dxa"/>
        <w:tblLayout w:type="fixed"/>
        <w:tblLook w:val="0000" w:firstRow="0" w:lastRow="0" w:firstColumn="0" w:lastColumn="0" w:noHBand="0" w:noVBand="0"/>
      </w:tblPr>
      <w:tblGrid>
        <w:gridCol w:w="6623"/>
        <w:gridCol w:w="4833"/>
      </w:tblGrid>
      <w:tr w:rsidR="001F3165">
        <w:trPr>
          <w:cantSplit/>
          <w:trHeight w:val="228"/>
        </w:trPr>
        <w:tc>
          <w:tcPr>
            <w:tcW w:w="6623" w:type="dxa"/>
          </w:tcPr>
          <w:p w:rsidR="001F3165" w:rsidRDefault="001F3165">
            <w:pPr>
              <w:pStyle w:val="coBody"/>
              <w:jc w:val="right"/>
              <w:rPr>
                <w:noProof/>
                <w:sz w:val="22"/>
              </w:rPr>
            </w:pPr>
            <w:bookmarkStart w:id="0" w:name="_GoBack"/>
            <w:bookmarkEnd w:id="0"/>
          </w:p>
        </w:tc>
        <w:tc>
          <w:tcPr>
            <w:tcW w:w="4833" w:type="dxa"/>
          </w:tcPr>
          <w:p w:rsidR="001F3165" w:rsidRDefault="001F3165">
            <w:pPr>
              <w:pStyle w:val="coBody"/>
              <w:rPr>
                <w:b/>
                <w:sz w:val="22"/>
              </w:rPr>
            </w:pPr>
            <w:r>
              <w:rPr>
                <w:b/>
                <w:sz w:val="22"/>
              </w:rPr>
              <w:t>CED1154</w:t>
            </w:r>
          </w:p>
        </w:tc>
      </w:tr>
      <w:tr w:rsidR="001F3165">
        <w:trPr>
          <w:cantSplit/>
          <w:trHeight w:val="1367"/>
        </w:trPr>
        <w:tc>
          <w:tcPr>
            <w:tcW w:w="6623" w:type="dxa"/>
          </w:tcPr>
          <w:p w:rsidR="001F3165" w:rsidRDefault="00716F0E">
            <w:pPr>
              <w:pStyle w:val="coBody"/>
              <w:rPr>
                <w:sz w:val="22"/>
              </w:rPr>
            </w:pPr>
            <w:r>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66.6pt" fillcolor="window">
                  <v:imagedata r:id="rId8" o:title="" grayscale="t" bilevel="t"/>
                </v:shape>
              </w:pict>
            </w:r>
          </w:p>
        </w:tc>
        <w:tc>
          <w:tcPr>
            <w:tcW w:w="4833" w:type="dxa"/>
          </w:tcPr>
          <w:p w:rsidR="001F3165" w:rsidRDefault="001F3165">
            <w:pPr>
              <w:pStyle w:val="coBody"/>
              <w:rPr>
                <w:b/>
                <w:sz w:val="22"/>
              </w:rPr>
            </w:pPr>
            <w:r>
              <w:rPr>
                <w:b/>
                <w:sz w:val="22"/>
              </w:rPr>
              <w:t>IM Injection Workshop</w:t>
            </w:r>
          </w:p>
          <w:p w:rsidR="001F3165" w:rsidRDefault="001F3165">
            <w:pPr>
              <w:pStyle w:val="coBody"/>
              <w:rPr>
                <w:b/>
                <w:sz w:val="22"/>
              </w:rPr>
            </w:pPr>
          </w:p>
        </w:tc>
      </w:tr>
      <w:tr w:rsidR="001F3165">
        <w:trPr>
          <w:cantSplit/>
          <w:trHeight w:val="228"/>
        </w:trPr>
        <w:tc>
          <w:tcPr>
            <w:tcW w:w="6623" w:type="dxa"/>
          </w:tcPr>
          <w:p w:rsidR="001F3165" w:rsidRDefault="001F3165">
            <w:pPr>
              <w:pStyle w:val="coBody"/>
              <w:rPr>
                <w:b/>
                <w:bCs/>
                <w:sz w:val="22"/>
              </w:rPr>
            </w:pPr>
            <w:r>
              <w:rPr>
                <w:b/>
                <w:bCs/>
                <w:sz w:val="22"/>
              </w:rPr>
              <w:t>INSTRUCTIONAL HOURS:</w:t>
            </w:r>
          </w:p>
        </w:tc>
        <w:tc>
          <w:tcPr>
            <w:tcW w:w="4833" w:type="dxa"/>
          </w:tcPr>
          <w:p w:rsidR="001F3165" w:rsidRDefault="00E708C3">
            <w:pPr>
              <w:pStyle w:val="coBody"/>
              <w:rPr>
                <w:sz w:val="22"/>
              </w:rPr>
            </w:pPr>
            <w:r>
              <w:rPr>
                <w:sz w:val="22"/>
              </w:rPr>
              <w:t xml:space="preserve">6 to </w:t>
            </w:r>
            <w:r w:rsidR="007C3BC1">
              <w:rPr>
                <w:sz w:val="22"/>
              </w:rPr>
              <w:t>7</w:t>
            </w:r>
            <w:r w:rsidR="001F3165">
              <w:rPr>
                <w:sz w:val="22"/>
              </w:rPr>
              <w:t xml:space="preserve"> hours</w:t>
            </w:r>
          </w:p>
        </w:tc>
      </w:tr>
      <w:tr w:rsidR="001F3165">
        <w:trPr>
          <w:cantSplit/>
          <w:trHeight w:val="245"/>
        </w:trPr>
        <w:tc>
          <w:tcPr>
            <w:tcW w:w="6623" w:type="dxa"/>
          </w:tcPr>
          <w:p w:rsidR="001F3165" w:rsidRDefault="001F3165">
            <w:pPr>
              <w:pStyle w:val="coBody"/>
              <w:rPr>
                <w:b/>
                <w:bCs/>
                <w:sz w:val="22"/>
              </w:rPr>
            </w:pPr>
            <w:r>
              <w:rPr>
                <w:b/>
                <w:bCs/>
                <w:sz w:val="22"/>
              </w:rPr>
              <w:t>RECOMMENDED PRE-REQUISITE(S):</w:t>
            </w:r>
          </w:p>
        </w:tc>
        <w:tc>
          <w:tcPr>
            <w:tcW w:w="4833" w:type="dxa"/>
          </w:tcPr>
          <w:p w:rsidR="001F3165" w:rsidRDefault="001F3165">
            <w:pPr>
              <w:pStyle w:val="coBody"/>
              <w:rPr>
                <w:sz w:val="22"/>
              </w:rPr>
            </w:pPr>
            <w:r>
              <w:rPr>
                <w:sz w:val="22"/>
              </w:rPr>
              <w:t xml:space="preserve">RPN, CNO Certificate of Registration </w:t>
            </w:r>
          </w:p>
          <w:p w:rsidR="001F3165" w:rsidRDefault="001F3165">
            <w:pPr>
              <w:pStyle w:val="coBody"/>
              <w:rPr>
                <w:sz w:val="22"/>
              </w:rPr>
            </w:pPr>
            <w:r>
              <w:rPr>
                <w:sz w:val="22"/>
              </w:rPr>
              <w:t>and current practice</w:t>
            </w:r>
          </w:p>
          <w:p w:rsidR="001F3165" w:rsidRDefault="001F3165">
            <w:pPr>
              <w:pStyle w:val="coBody"/>
              <w:rPr>
                <w:sz w:val="22"/>
              </w:rPr>
            </w:pPr>
            <w:r>
              <w:rPr>
                <w:sz w:val="22"/>
              </w:rPr>
              <w:t>Completion of Pharmacology/Medication Administration certificate/course</w:t>
            </w:r>
            <w:r w:rsidR="007B4FF9">
              <w:rPr>
                <w:sz w:val="22"/>
              </w:rPr>
              <w:t xml:space="preserve"> if not included in PN education </w:t>
            </w:r>
          </w:p>
        </w:tc>
      </w:tr>
      <w:tr w:rsidR="001F3165">
        <w:trPr>
          <w:cantSplit/>
          <w:trHeight w:val="228"/>
        </w:trPr>
        <w:tc>
          <w:tcPr>
            <w:tcW w:w="6623" w:type="dxa"/>
          </w:tcPr>
          <w:p w:rsidR="001F3165" w:rsidRDefault="001F3165">
            <w:pPr>
              <w:pStyle w:val="coBody"/>
              <w:rPr>
                <w:b/>
                <w:bCs/>
                <w:sz w:val="22"/>
              </w:rPr>
            </w:pPr>
            <w:r>
              <w:rPr>
                <w:b/>
                <w:bCs/>
                <w:sz w:val="22"/>
              </w:rPr>
              <w:t>CO-REQUISITES:</w:t>
            </w:r>
          </w:p>
        </w:tc>
        <w:tc>
          <w:tcPr>
            <w:tcW w:w="4833" w:type="dxa"/>
          </w:tcPr>
          <w:p w:rsidR="001F3165" w:rsidRDefault="001F3165">
            <w:pPr>
              <w:pStyle w:val="coBody"/>
              <w:rPr>
                <w:sz w:val="22"/>
              </w:rPr>
            </w:pPr>
            <w:r>
              <w:rPr>
                <w:sz w:val="22"/>
              </w:rPr>
              <w:t>N/A</w:t>
            </w:r>
          </w:p>
        </w:tc>
      </w:tr>
      <w:tr w:rsidR="001F3165">
        <w:trPr>
          <w:cantSplit/>
          <w:trHeight w:val="228"/>
        </w:trPr>
        <w:tc>
          <w:tcPr>
            <w:tcW w:w="6623" w:type="dxa"/>
          </w:tcPr>
          <w:p w:rsidR="001F3165" w:rsidRDefault="001F3165">
            <w:pPr>
              <w:pStyle w:val="coBody"/>
              <w:rPr>
                <w:b/>
                <w:bCs/>
                <w:sz w:val="22"/>
              </w:rPr>
            </w:pPr>
            <w:r>
              <w:rPr>
                <w:b/>
                <w:bCs/>
                <w:sz w:val="22"/>
              </w:rPr>
              <w:t>APPROVED FOR USE IN ACADEMIC SEMESTERS</w:t>
            </w:r>
          </w:p>
        </w:tc>
        <w:tc>
          <w:tcPr>
            <w:tcW w:w="4833" w:type="dxa"/>
          </w:tcPr>
          <w:p w:rsidR="001F3165" w:rsidRDefault="0041083D">
            <w:pPr>
              <w:pStyle w:val="coBody"/>
              <w:rPr>
                <w:b/>
                <w:bCs/>
                <w:sz w:val="22"/>
              </w:rPr>
            </w:pPr>
            <w:r>
              <w:rPr>
                <w:b/>
                <w:bCs/>
                <w:sz w:val="22"/>
              </w:rPr>
              <w:t>200</w:t>
            </w:r>
            <w:r w:rsidR="007C3F4D">
              <w:rPr>
                <w:b/>
                <w:bCs/>
                <w:sz w:val="22"/>
              </w:rPr>
              <w:t>9</w:t>
            </w:r>
            <w:r w:rsidR="00D1091E">
              <w:rPr>
                <w:b/>
                <w:bCs/>
                <w:sz w:val="22"/>
              </w:rPr>
              <w:t>/20</w:t>
            </w:r>
            <w:r w:rsidR="007C3F4D">
              <w:rPr>
                <w:b/>
                <w:bCs/>
                <w:sz w:val="22"/>
              </w:rPr>
              <w:t>10</w:t>
            </w:r>
          </w:p>
        </w:tc>
      </w:tr>
    </w:tbl>
    <w:p w:rsidR="001F3165" w:rsidRDefault="001F3165">
      <w:pPr>
        <w:rPr>
          <w:sz w:val="22"/>
        </w:rPr>
      </w:pPr>
    </w:p>
    <w:p w:rsidR="001F3165" w:rsidRDefault="001F3165">
      <w:pPr>
        <w:rPr>
          <w:sz w:val="22"/>
        </w:rPr>
      </w:pPr>
      <w:r>
        <w:rPr>
          <w:b/>
          <w:bCs/>
          <w:sz w:val="22"/>
          <w:u w:val="single"/>
        </w:rPr>
        <w:t>COURSE DESCRIPTION</w:t>
      </w:r>
      <w:r>
        <w:rPr>
          <w:sz w:val="22"/>
        </w:rPr>
        <w:t>:</w:t>
      </w:r>
    </w:p>
    <w:p w:rsidR="001F3165" w:rsidRDefault="001F3165">
      <w:pPr>
        <w:pStyle w:val="-CBText"/>
      </w:pPr>
      <w:r>
        <w:t xml:space="preserve">The purpose of this course/workshop is to introduce or enhance nursing knowledge regarding aspects of client care related to administration of medications by intramuscular injection.  This will be accomplished through core concepts related to the role of the practical nurse in assessing, planning, implementing and evaluating the care of clients requiring medications administered by this route.  These core concepts include assessment, planning, implementation and evaluation of client care with respect to the administration of medication via IM injection, nursing roles and responsibilities in medication therapy and safety precautions to be considered in client care. </w:t>
      </w:r>
    </w:p>
    <w:p w:rsidR="001F3165" w:rsidRDefault="001F3165">
      <w:pPr>
        <w:pStyle w:val="coBody"/>
        <w:rPr>
          <w:sz w:val="22"/>
        </w:rPr>
      </w:pPr>
    </w:p>
    <w:p w:rsidR="001F3165" w:rsidRDefault="001F3165">
      <w:pPr>
        <w:pStyle w:val="coBody"/>
        <w:rPr>
          <w:sz w:val="22"/>
        </w:rPr>
      </w:pPr>
      <w:r>
        <w:rPr>
          <w:sz w:val="22"/>
        </w:rPr>
        <w:t xml:space="preserve">Students must complete both the theory and lab practice requirements.. </w:t>
      </w:r>
    </w:p>
    <w:p w:rsidR="001F3165" w:rsidRDefault="001F3165">
      <w:pPr>
        <w:rPr>
          <w:sz w:val="22"/>
        </w:rPr>
      </w:pPr>
    </w:p>
    <w:p w:rsidR="001F3165" w:rsidRDefault="001F3165">
      <w:pPr>
        <w:rPr>
          <w:sz w:val="22"/>
        </w:rPr>
      </w:pPr>
    </w:p>
    <w:p w:rsidR="001F3165" w:rsidRDefault="001F3165">
      <w:pPr>
        <w:rPr>
          <w:b/>
          <w:bCs/>
          <w:sz w:val="22"/>
          <w:u w:val="single"/>
        </w:rPr>
      </w:pPr>
      <w:r>
        <w:rPr>
          <w:b/>
          <w:bCs/>
          <w:sz w:val="22"/>
          <w:u w:val="single"/>
        </w:rPr>
        <w:t>RATIONALE:</w:t>
      </w:r>
    </w:p>
    <w:p w:rsidR="001F3165" w:rsidRDefault="001F3165">
      <w:pPr>
        <w:rPr>
          <w:sz w:val="22"/>
        </w:rPr>
      </w:pPr>
      <w:r>
        <w:rPr>
          <w:sz w:val="22"/>
        </w:rPr>
        <w:t>Opportunities for additional knowledge and the practical application of concepts and skills of intramuscular injection is essential preparation for the RPN to function within the scope of practice as defined in the Regulated Health Professions Act.</w:t>
      </w:r>
    </w:p>
    <w:p w:rsidR="001F3165" w:rsidRDefault="001F3165">
      <w:pPr>
        <w:rPr>
          <w:sz w:val="22"/>
        </w:rPr>
      </w:pPr>
    </w:p>
    <w:p w:rsidR="001F3165" w:rsidRDefault="001F3165">
      <w:pPr>
        <w:rPr>
          <w:sz w:val="22"/>
        </w:rPr>
      </w:pPr>
    </w:p>
    <w:p w:rsidR="001F3165" w:rsidRDefault="001F3165">
      <w:pPr>
        <w:pStyle w:val="coHeading"/>
        <w:rPr>
          <w:sz w:val="22"/>
        </w:rPr>
      </w:pPr>
      <w:r>
        <w:rPr>
          <w:sz w:val="22"/>
          <w:u w:val="single"/>
        </w:rPr>
        <w:t>COURSE DELIVERY</w:t>
      </w:r>
      <w:r>
        <w:rPr>
          <w:sz w:val="22"/>
        </w:rPr>
        <w:t>:</w:t>
      </w:r>
    </w:p>
    <w:p w:rsidR="001F3165" w:rsidRDefault="001F3165">
      <w:pPr>
        <w:rPr>
          <w:sz w:val="22"/>
        </w:rPr>
      </w:pPr>
      <w:r>
        <w:rPr>
          <w:sz w:val="22"/>
        </w:rPr>
        <w:t>The course content will</w:t>
      </w:r>
      <w:r>
        <w:rPr>
          <w:b/>
          <w:bCs/>
          <w:sz w:val="22"/>
          <w:u w:val="single"/>
        </w:rPr>
        <w:t xml:space="preserve"> </w:t>
      </w:r>
      <w:r>
        <w:rPr>
          <w:sz w:val="22"/>
        </w:rPr>
        <w:t>be presented through a blend of instructional methods which may include lecture, Internet, discussion, independent study, audio/video conferencing and videotape.</w:t>
      </w:r>
    </w:p>
    <w:p w:rsidR="001F3165" w:rsidRDefault="001F3165">
      <w:pPr>
        <w:rPr>
          <w:sz w:val="22"/>
        </w:rPr>
      </w:pPr>
    </w:p>
    <w:p w:rsidR="001F3165" w:rsidRDefault="001F3165">
      <w:pPr>
        <w:rPr>
          <w:sz w:val="22"/>
        </w:rPr>
      </w:pPr>
    </w:p>
    <w:p w:rsidR="001F3165" w:rsidRDefault="001F3165">
      <w:pPr>
        <w:rPr>
          <w:b/>
          <w:bCs/>
          <w:sz w:val="22"/>
          <w:u w:val="single"/>
        </w:rPr>
      </w:pPr>
      <w:r>
        <w:rPr>
          <w:b/>
          <w:bCs/>
          <w:sz w:val="22"/>
          <w:u w:val="single"/>
        </w:rPr>
        <w:t>LEARNING OBJECTIVES/OUTCOMES:</w:t>
      </w:r>
    </w:p>
    <w:p w:rsidR="001F3165" w:rsidRDefault="001F3165">
      <w:pPr>
        <w:widowControl w:val="0"/>
        <w:rPr>
          <w:sz w:val="22"/>
        </w:rPr>
      </w:pPr>
      <w:r>
        <w:rPr>
          <w:sz w:val="22"/>
        </w:rPr>
        <w:t>Upon successful completion of this course, the student will be able to:</w:t>
      </w:r>
    </w:p>
    <w:p w:rsidR="001F3165" w:rsidRDefault="001F3165">
      <w:pPr>
        <w:rPr>
          <w:sz w:val="20"/>
        </w:rPr>
      </w:pPr>
    </w:p>
    <w:p w:rsidR="001F3165" w:rsidRDefault="001F3165">
      <w:pPr>
        <w:numPr>
          <w:ilvl w:val="0"/>
          <w:numId w:val="4"/>
        </w:numPr>
        <w:rPr>
          <w:sz w:val="20"/>
        </w:rPr>
      </w:pPr>
      <w:r>
        <w:rPr>
          <w:sz w:val="20"/>
        </w:rPr>
        <w:t>Utilize the nursing process in assessing a client’s need for and response to medication therapy.</w:t>
      </w:r>
    </w:p>
    <w:p w:rsidR="001F3165" w:rsidRDefault="001F3165">
      <w:pPr>
        <w:rPr>
          <w:sz w:val="20"/>
        </w:rPr>
      </w:pPr>
    </w:p>
    <w:p w:rsidR="001F3165" w:rsidRDefault="001F3165">
      <w:pPr>
        <w:numPr>
          <w:ilvl w:val="0"/>
          <w:numId w:val="4"/>
        </w:numPr>
        <w:rPr>
          <w:sz w:val="20"/>
        </w:rPr>
      </w:pPr>
      <w:r>
        <w:rPr>
          <w:sz w:val="20"/>
        </w:rPr>
        <w:t>Apply a holistic approach in obtaining assessment data of the client related to medication therapy.</w:t>
      </w:r>
    </w:p>
    <w:p w:rsidR="001F3165" w:rsidRDefault="001F3165">
      <w:pPr>
        <w:rPr>
          <w:sz w:val="20"/>
        </w:rPr>
      </w:pPr>
    </w:p>
    <w:p w:rsidR="001F3165" w:rsidRDefault="001F3165">
      <w:pPr>
        <w:numPr>
          <w:ilvl w:val="0"/>
          <w:numId w:val="4"/>
        </w:numPr>
        <w:rPr>
          <w:sz w:val="20"/>
        </w:rPr>
      </w:pPr>
      <w:r>
        <w:rPr>
          <w:sz w:val="20"/>
        </w:rPr>
        <w:t>Demonstrate principles of safe and effective preparation and administration of IM injections.</w:t>
      </w:r>
    </w:p>
    <w:p w:rsidR="001F3165" w:rsidRDefault="001F3165">
      <w:pPr>
        <w:rPr>
          <w:sz w:val="20"/>
        </w:rPr>
      </w:pPr>
    </w:p>
    <w:p w:rsidR="001F3165" w:rsidRDefault="001F3165">
      <w:pPr>
        <w:numPr>
          <w:ilvl w:val="0"/>
          <w:numId w:val="4"/>
        </w:numPr>
        <w:rPr>
          <w:sz w:val="20"/>
        </w:rPr>
      </w:pPr>
      <w:r>
        <w:rPr>
          <w:sz w:val="20"/>
        </w:rPr>
        <w:t xml:space="preserve">Identify legal responsibilities of medication administration, including the </w:t>
      </w:r>
      <w:smartTag w:uri="urn:schemas-microsoft-com:office:smarttags" w:element="place">
        <w:smartTag w:uri="urn:schemas-microsoft-com:office:smarttags" w:element="PlaceType">
          <w:r>
            <w:rPr>
              <w:sz w:val="20"/>
            </w:rPr>
            <w:t>College</w:t>
          </w:r>
        </w:smartTag>
        <w:r>
          <w:rPr>
            <w:sz w:val="20"/>
          </w:rPr>
          <w:t xml:space="preserve"> of </w:t>
        </w:r>
        <w:smartTag w:uri="urn:schemas-microsoft-com:office:smarttags" w:element="PersonName">
          <w:r>
            <w:rPr>
              <w:sz w:val="20"/>
            </w:rPr>
            <w:t>Nurses</w:t>
          </w:r>
        </w:smartTag>
      </w:smartTag>
      <w:r>
        <w:rPr>
          <w:sz w:val="20"/>
        </w:rPr>
        <w:t xml:space="preserve"> of Ontario Medication Administration Standards.</w:t>
      </w:r>
    </w:p>
    <w:p w:rsidR="001F3165" w:rsidRDefault="001F3165">
      <w:pPr>
        <w:rPr>
          <w:sz w:val="20"/>
        </w:rPr>
      </w:pPr>
    </w:p>
    <w:p w:rsidR="001F3165" w:rsidRDefault="001F3165">
      <w:pPr>
        <w:numPr>
          <w:ilvl w:val="0"/>
          <w:numId w:val="4"/>
        </w:numPr>
        <w:rPr>
          <w:sz w:val="20"/>
        </w:rPr>
      </w:pPr>
      <w:r>
        <w:rPr>
          <w:sz w:val="20"/>
        </w:rPr>
        <w:t>Examine the role of the RN/RPN in medication administration.</w:t>
      </w:r>
    </w:p>
    <w:p w:rsidR="001F3165" w:rsidRDefault="001F3165">
      <w:pPr>
        <w:rPr>
          <w:sz w:val="20"/>
        </w:rPr>
      </w:pPr>
    </w:p>
    <w:p w:rsidR="001F3165" w:rsidRDefault="001F3165">
      <w:pPr>
        <w:numPr>
          <w:ilvl w:val="0"/>
          <w:numId w:val="4"/>
        </w:numPr>
        <w:rPr>
          <w:sz w:val="20"/>
        </w:rPr>
      </w:pPr>
      <w:r>
        <w:rPr>
          <w:sz w:val="20"/>
        </w:rPr>
        <w:t>Apply knowledge in determining factors to consider in the selection of appropriate equipment and site selection for IM injections for children, adults and the elderly.</w:t>
      </w:r>
    </w:p>
    <w:p w:rsidR="001F3165" w:rsidRDefault="001F3165">
      <w:pPr>
        <w:rPr>
          <w:sz w:val="20"/>
        </w:rPr>
      </w:pPr>
    </w:p>
    <w:p w:rsidR="001F3165" w:rsidRDefault="001F3165">
      <w:pPr>
        <w:numPr>
          <w:ilvl w:val="0"/>
          <w:numId w:val="4"/>
        </w:numPr>
        <w:rPr>
          <w:sz w:val="20"/>
        </w:rPr>
      </w:pPr>
      <w:r>
        <w:rPr>
          <w:sz w:val="20"/>
        </w:rPr>
        <w:t>Identify information and health teaching to be given to clients pre and post injection.</w:t>
      </w:r>
    </w:p>
    <w:p w:rsidR="001F3165" w:rsidRDefault="001F3165">
      <w:pPr>
        <w:rPr>
          <w:sz w:val="20"/>
        </w:rPr>
      </w:pPr>
    </w:p>
    <w:p w:rsidR="001F3165" w:rsidRDefault="001F3165">
      <w:pPr>
        <w:numPr>
          <w:ilvl w:val="0"/>
          <w:numId w:val="4"/>
        </w:numPr>
        <w:rPr>
          <w:sz w:val="20"/>
        </w:rPr>
      </w:pPr>
      <w:r>
        <w:rPr>
          <w:sz w:val="20"/>
        </w:rPr>
        <w:t>Examine policies and procedures of the learner’s own facility regarding IM injection and appropriate documentation.</w:t>
      </w:r>
    </w:p>
    <w:p w:rsidR="001F3165" w:rsidRDefault="001F3165">
      <w:pPr>
        <w:rPr>
          <w:sz w:val="20"/>
        </w:rPr>
      </w:pPr>
    </w:p>
    <w:p w:rsidR="001F3165" w:rsidRPr="00362C48" w:rsidRDefault="001F3165">
      <w:pPr>
        <w:numPr>
          <w:ilvl w:val="0"/>
          <w:numId w:val="4"/>
        </w:numPr>
        <w:rPr>
          <w:sz w:val="20"/>
        </w:rPr>
      </w:pPr>
      <w:r>
        <w:rPr>
          <w:sz w:val="20"/>
        </w:rPr>
        <w:t>Apply knowledge of universal body fluid precautions and safety precautions in preparation, administration and disposal of equipment.</w:t>
      </w:r>
    </w:p>
    <w:p w:rsidR="001F3165" w:rsidRDefault="001F3165">
      <w:pPr>
        <w:ind w:left="720"/>
        <w:rPr>
          <w:rFonts w:cs="Arial"/>
          <w:sz w:val="22"/>
        </w:rPr>
      </w:pPr>
    </w:p>
    <w:p w:rsidR="001F3165" w:rsidRDefault="001F3165">
      <w:pPr>
        <w:pStyle w:val="coHeading"/>
        <w:rPr>
          <w:sz w:val="22"/>
          <w:u w:val="single"/>
        </w:rPr>
      </w:pPr>
      <w:r>
        <w:rPr>
          <w:sz w:val="22"/>
          <w:u w:val="single"/>
        </w:rPr>
        <w:t xml:space="preserve">TOPICS </w:t>
      </w:r>
    </w:p>
    <w:p w:rsidR="001F3165" w:rsidRDefault="001F3165">
      <w:pPr>
        <w:rPr>
          <w:sz w:val="22"/>
        </w:rPr>
      </w:pPr>
    </w:p>
    <w:p w:rsidR="001F3165" w:rsidRDefault="001F3165">
      <w:pPr>
        <w:numPr>
          <w:ilvl w:val="0"/>
          <w:numId w:val="5"/>
        </w:numPr>
        <w:rPr>
          <w:sz w:val="22"/>
        </w:rPr>
      </w:pPr>
      <w:r>
        <w:rPr>
          <w:sz w:val="22"/>
        </w:rPr>
        <w:t>Nursing process and medication therapy.</w:t>
      </w:r>
    </w:p>
    <w:p w:rsidR="001F3165" w:rsidRDefault="001F3165">
      <w:pPr>
        <w:numPr>
          <w:ilvl w:val="0"/>
          <w:numId w:val="5"/>
        </w:numPr>
        <w:rPr>
          <w:sz w:val="22"/>
        </w:rPr>
      </w:pPr>
      <w:r>
        <w:rPr>
          <w:sz w:val="22"/>
        </w:rPr>
        <w:t>Holistic health, holistic nursing.</w:t>
      </w:r>
    </w:p>
    <w:p w:rsidR="001F3165" w:rsidRDefault="001F3165">
      <w:pPr>
        <w:numPr>
          <w:ilvl w:val="0"/>
          <w:numId w:val="5"/>
        </w:numPr>
        <w:rPr>
          <w:sz w:val="22"/>
        </w:rPr>
      </w:pPr>
      <w:r>
        <w:rPr>
          <w:sz w:val="22"/>
        </w:rPr>
        <w:t>Principles of safe medication administration.</w:t>
      </w:r>
    </w:p>
    <w:p w:rsidR="001F3165" w:rsidRDefault="001F3165">
      <w:pPr>
        <w:numPr>
          <w:ilvl w:val="0"/>
          <w:numId w:val="5"/>
        </w:numPr>
        <w:rPr>
          <w:sz w:val="22"/>
        </w:rPr>
      </w:pPr>
      <w:r>
        <w:rPr>
          <w:sz w:val="22"/>
        </w:rPr>
        <w:t>Roles and responsibilities of RN/RPN in administering medications including IM injections.</w:t>
      </w:r>
    </w:p>
    <w:p w:rsidR="001F3165" w:rsidRDefault="001F3165">
      <w:pPr>
        <w:numPr>
          <w:ilvl w:val="0"/>
          <w:numId w:val="5"/>
        </w:numPr>
        <w:rPr>
          <w:sz w:val="22"/>
        </w:rPr>
      </w:pPr>
      <w:r>
        <w:rPr>
          <w:sz w:val="22"/>
        </w:rPr>
        <w:t>Selection of appropriate equipment.</w:t>
      </w:r>
    </w:p>
    <w:p w:rsidR="001F3165" w:rsidRDefault="001F3165">
      <w:pPr>
        <w:numPr>
          <w:ilvl w:val="0"/>
          <w:numId w:val="5"/>
        </w:numPr>
        <w:rPr>
          <w:sz w:val="22"/>
        </w:rPr>
      </w:pPr>
      <w:r>
        <w:rPr>
          <w:sz w:val="22"/>
        </w:rPr>
        <w:t>Site selection (children, adults, elderly)</w:t>
      </w:r>
    </w:p>
    <w:p w:rsidR="001F3165" w:rsidRDefault="001F3165">
      <w:pPr>
        <w:numPr>
          <w:ilvl w:val="0"/>
          <w:numId w:val="5"/>
        </w:numPr>
        <w:rPr>
          <w:sz w:val="22"/>
        </w:rPr>
      </w:pPr>
      <w:r>
        <w:rPr>
          <w:sz w:val="22"/>
        </w:rPr>
        <w:t>Health teaching pre/post injection.</w:t>
      </w:r>
    </w:p>
    <w:p w:rsidR="001F3165" w:rsidRDefault="001F3165">
      <w:pPr>
        <w:numPr>
          <w:ilvl w:val="0"/>
          <w:numId w:val="5"/>
        </w:numPr>
        <w:rPr>
          <w:sz w:val="22"/>
        </w:rPr>
      </w:pPr>
      <w:r>
        <w:rPr>
          <w:sz w:val="22"/>
        </w:rPr>
        <w:t>Policies and procedures of institution related to IM injections.</w:t>
      </w:r>
    </w:p>
    <w:p w:rsidR="001F3165" w:rsidRDefault="001F3165">
      <w:pPr>
        <w:numPr>
          <w:ilvl w:val="0"/>
          <w:numId w:val="5"/>
        </w:numPr>
        <w:rPr>
          <w:sz w:val="22"/>
        </w:rPr>
      </w:pPr>
      <w:r>
        <w:rPr>
          <w:sz w:val="22"/>
        </w:rPr>
        <w:t>Documentation.</w:t>
      </w:r>
    </w:p>
    <w:p w:rsidR="001F3165" w:rsidRDefault="001F3165">
      <w:pPr>
        <w:numPr>
          <w:ilvl w:val="0"/>
          <w:numId w:val="5"/>
        </w:numPr>
        <w:rPr>
          <w:sz w:val="22"/>
        </w:rPr>
      </w:pPr>
      <w:r>
        <w:rPr>
          <w:sz w:val="22"/>
        </w:rPr>
        <w:t>Safety.</w:t>
      </w:r>
    </w:p>
    <w:p w:rsidR="001F3165" w:rsidRDefault="001F3165">
      <w:pPr>
        <w:rPr>
          <w:sz w:val="22"/>
        </w:rPr>
      </w:pPr>
    </w:p>
    <w:p w:rsidR="001F3165" w:rsidRDefault="001F3165">
      <w:pPr>
        <w:pStyle w:val="coHeading"/>
        <w:rPr>
          <w:b w:val="0"/>
          <w:sz w:val="22"/>
        </w:rPr>
      </w:pPr>
      <w:r>
        <w:rPr>
          <w:sz w:val="22"/>
          <w:u w:val="single"/>
        </w:rPr>
        <w:t>REQUIRED COURSE MATERIAL:</w:t>
      </w:r>
      <w:r>
        <w:rPr>
          <w:sz w:val="22"/>
        </w:rPr>
        <w:t xml:space="preserve"> </w:t>
      </w:r>
      <w:r>
        <w:rPr>
          <w:b w:val="0"/>
          <w:sz w:val="22"/>
        </w:rPr>
        <w:t>(to be purchased by the learner)</w:t>
      </w:r>
    </w:p>
    <w:p w:rsidR="001F3165" w:rsidRDefault="001F3165">
      <w:pPr>
        <w:rPr>
          <w:sz w:val="22"/>
        </w:rPr>
      </w:pPr>
    </w:p>
    <w:p w:rsidR="001F3165" w:rsidRPr="007C3BC1" w:rsidRDefault="001F3165">
      <w:pPr>
        <w:pStyle w:val="-CBText"/>
        <w:widowControl/>
        <w:rPr>
          <w:rFonts w:cs="Arial"/>
        </w:rPr>
      </w:pPr>
      <w:r w:rsidRPr="007C3BC1">
        <w:rPr>
          <w:rFonts w:cs="Arial"/>
        </w:rPr>
        <w:t>Any current text from the following areas:</w:t>
      </w:r>
    </w:p>
    <w:p w:rsidR="001F3165" w:rsidRPr="007C3BC1" w:rsidRDefault="001F3165">
      <w:pPr>
        <w:pStyle w:val="-CBText"/>
        <w:widowControl/>
        <w:numPr>
          <w:ilvl w:val="0"/>
          <w:numId w:val="6"/>
        </w:numPr>
        <w:rPr>
          <w:rFonts w:cs="Arial"/>
        </w:rPr>
      </w:pPr>
      <w:r w:rsidRPr="007C3BC1">
        <w:rPr>
          <w:rFonts w:cs="Arial"/>
        </w:rPr>
        <w:t xml:space="preserve">Nursing Clinical Principles &amp; Practice Guidelines </w:t>
      </w:r>
    </w:p>
    <w:p w:rsidR="001F3165" w:rsidRPr="007C3BC1" w:rsidRDefault="001F3165">
      <w:pPr>
        <w:pStyle w:val="-CBText"/>
        <w:widowControl/>
        <w:numPr>
          <w:ilvl w:val="0"/>
          <w:numId w:val="6"/>
        </w:numPr>
        <w:rPr>
          <w:rFonts w:cs="Arial"/>
        </w:rPr>
      </w:pPr>
      <w:r w:rsidRPr="007C3BC1">
        <w:rPr>
          <w:rFonts w:cs="Arial"/>
        </w:rPr>
        <w:t>Medical-Surgical Nursing</w:t>
      </w:r>
    </w:p>
    <w:p w:rsidR="001F3165" w:rsidRDefault="001F3165">
      <w:pPr>
        <w:numPr>
          <w:ilvl w:val="0"/>
          <w:numId w:val="6"/>
        </w:numPr>
        <w:rPr>
          <w:rFonts w:cs="Arial"/>
          <w:sz w:val="20"/>
          <w:szCs w:val="20"/>
        </w:rPr>
      </w:pPr>
      <w:r w:rsidRPr="007C3BC1">
        <w:rPr>
          <w:rFonts w:cs="Arial"/>
          <w:sz w:val="20"/>
          <w:szCs w:val="20"/>
        </w:rPr>
        <w:t>Nursing Pharmacology and/or Drug Handbook</w:t>
      </w:r>
    </w:p>
    <w:p w:rsidR="007C3BC1" w:rsidRPr="007C3BC1" w:rsidRDefault="007C3BC1" w:rsidP="007C3BC1">
      <w:pPr>
        <w:rPr>
          <w:rFonts w:cs="Arial"/>
          <w:sz w:val="20"/>
          <w:szCs w:val="20"/>
        </w:rPr>
      </w:pPr>
      <w:r>
        <w:rPr>
          <w:rFonts w:cs="Arial"/>
          <w:sz w:val="20"/>
          <w:szCs w:val="20"/>
        </w:rPr>
        <w:t>The following resources are available at the CNO website www.cno.org</w:t>
      </w:r>
    </w:p>
    <w:p w:rsidR="007C3BC1" w:rsidRDefault="007C3BC1" w:rsidP="007C3BC1">
      <w:pPr>
        <w:numPr>
          <w:ilvl w:val="0"/>
          <w:numId w:val="6"/>
        </w:numPr>
        <w:rPr>
          <w:rFonts w:cs="Arial"/>
          <w:sz w:val="20"/>
          <w:szCs w:val="20"/>
        </w:rPr>
      </w:pPr>
      <w:r w:rsidRPr="007C3BC1">
        <w:rPr>
          <w:rFonts w:cs="Arial"/>
          <w:sz w:val="20"/>
          <w:szCs w:val="20"/>
        </w:rPr>
        <w:t xml:space="preserve">CNO Fact Sheet “Providing Influenza </w:t>
      </w:r>
      <w:r>
        <w:rPr>
          <w:rFonts w:cs="Arial"/>
          <w:sz w:val="20"/>
          <w:szCs w:val="20"/>
        </w:rPr>
        <w:t>Vaccinations</w:t>
      </w:r>
      <w:r w:rsidR="007B4FF9">
        <w:rPr>
          <w:rFonts w:cs="Arial"/>
          <w:sz w:val="20"/>
          <w:szCs w:val="20"/>
        </w:rPr>
        <w:t xml:space="preserve">” (2005) </w:t>
      </w:r>
      <w:hyperlink r:id="rId9" w:history="1">
        <w:r w:rsidR="007B4FF9" w:rsidRPr="00A13D41">
          <w:rPr>
            <w:rStyle w:val="Hyperlink"/>
            <w:rFonts w:cs="Arial"/>
            <w:sz w:val="20"/>
            <w:szCs w:val="20"/>
          </w:rPr>
          <w:t>http://www.cno.org/docs/prac/41053_fsInfluenza.pdf</w:t>
        </w:r>
      </w:hyperlink>
      <w:r w:rsidR="007B4FF9">
        <w:rPr>
          <w:rFonts w:cs="Arial"/>
          <w:sz w:val="20"/>
          <w:szCs w:val="20"/>
          <w:lang w:val="en-US"/>
        </w:rPr>
        <w:t xml:space="preserve"> </w:t>
      </w:r>
    </w:p>
    <w:p w:rsidR="007C3BC1" w:rsidRDefault="007C3BC1" w:rsidP="007C3BC1">
      <w:pPr>
        <w:numPr>
          <w:ilvl w:val="0"/>
          <w:numId w:val="6"/>
        </w:numPr>
        <w:rPr>
          <w:rFonts w:cs="Arial"/>
          <w:sz w:val="20"/>
          <w:szCs w:val="20"/>
        </w:rPr>
      </w:pPr>
      <w:r w:rsidRPr="007C3BC1">
        <w:rPr>
          <w:rFonts w:cs="Arial"/>
          <w:sz w:val="20"/>
          <w:szCs w:val="20"/>
        </w:rPr>
        <w:t>CNO Practice Standa</w:t>
      </w:r>
      <w:r w:rsidR="007B4FF9">
        <w:rPr>
          <w:rFonts w:cs="Arial"/>
          <w:sz w:val="20"/>
          <w:szCs w:val="20"/>
        </w:rPr>
        <w:t xml:space="preserve">rds for Medication Revised 2005, accessed </w:t>
      </w:r>
      <w:hyperlink r:id="rId10" w:history="1">
        <w:r w:rsidR="007B4FF9" w:rsidRPr="00A13D41">
          <w:rPr>
            <w:rStyle w:val="Hyperlink"/>
            <w:rFonts w:cs="Arial"/>
            <w:sz w:val="20"/>
            <w:szCs w:val="20"/>
          </w:rPr>
          <w:t>http://www.cno.org/docs/prac/41007_Medication.pdf</w:t>
        </w:r>
      </w:hyperlink>
      <w:r w:rsidR="007B4FF9">
        <w:rPr>
          <w:rFonts w:cs="Arial"/>
          <w:sz w:val="20"/>
          <w:szCs w:val="20"/>
          <w:lang w:val="en-US"/>
        </w:rPr>
        <w:t xml:space="preserve"> </w:t>
      </w:r>
    </w:p>
    <w:p w:rsidR="007C3BC1" w:rsidRDefault="007B4FF9" w:rsidP="007C3BC1">
      <w:pPr>
        <w:numPr>
          <w:ilvl w:val="0"/>
          <w:numId w:val="6"/>
        </w:numPr>
        <w:rPr>
          <w:rFonts w:cs="Arial"/>
          <w:sz w:val="20"/>
          <w:szCs w:val="20"/>
        </w:rPr>
      </w:pPr>
      <w:r>
        <w:rPr>
          <w:rFonts w:cs="Arial"/>
          <w:sz w:val="20"/>
          <w:szCs w:val="20"/>
        </w:rPr>
        <w:t xml:space="preserve">CNO Practice Standard - </w:t>
      </w:r>
      <w:r w:rsidR="007C3BC1" w:rsidRPr="007C3BC1">
        <w:rPr>
          <w:rFonts w:cs="Arial"/>
          <w:sz w:val="20"/>
          <w:szCs w:val="20"/>
        </w:rPr>
        <w:t xml:space="preserve">Documentation Revised 2005, accessed </w:t>
      </w:r>
      <w:hyperlink r:id="rId11" w:history="1">
        <w:r w:rsidRPr="00A13D41">
          <w:rPr>
            <w:rStyle w:val="Hyperlink"/>
            <w:rFonts w:cs="Arial"/>
            <w:sz w:val="20"/>
            <w:szCs w:val="20"/>
          </w:rPr>
          <w:t>http://www.cno.org/docs/prac/41001_documentation.pdf</w:t>
        </w:r>
      </w:hyperlink>
    </w:p>
    <w:p w:rsidR="007B4FF9" w:rsidRPr="007B4FF9" w:rsidRDefault="007B4FF9" w:rsidP="007C3BC1">
      <w:pPr>
        <w:numPr>
          <w:ilvl w:val="0"/>
          <w:numId w:val="6"/>
        </w:numPr>
        <w:rPr>
          <w:rFonts w:cs="Arial"/>
          <w:sz w:val="20"/>
          <w:szCs w:val="20"/>
        </w:rPr>
      </w:pPr>
      <w:r>
        <w:rPr>
          <w:rFonts w:cs="Arial"/>
          <w:sz w:val="20"/>
          <w:szCs w:val="20"/>
        </w:rPr>
        <w:t xml:space="preserve">CNO Practice Standard – Consent Revised 2005 accessed </w:t>
      </w:r>
      <w:hyperlink r:id="rId12" w:history="1">
        <w:r w:rsidRPr="00A13D41">
          <w:rPr>
            <w:rStyle w:val="Hyperlink"/>
            <w:rFonts w:cs="Arial"/>
            <w:sz w:val="20"/>
            <w:szCs w:val="20"/>
          </w:rPr>
          <w:t>http://www.cno.org/docs/policy/41020_consent.pdf</w:t>
        </w:r>
      </w:hyperlink>
      <w:r>
        <w:rPr>
          <w:rFonts w:cs="Arial"/>
          <w:sz w:val="20"/>
          <w:szCs w:val="20"/>
          <w:lang w:val="en-US"/>
        </w:rPr>
        <w:t xml:space="preserve"> </w:t>
      </w:r>
    </w:p>
    <w:p w:rsidR="007B4FF9" w:rsidRPr="007B4FF9" w:rsidRDefault="007B4FF9" w:rsidP="007C3BC1">
      <w:pPr>
        <w:numPr>
          <w:ilvl w:val="0"/>
          <w:numId w:val="6"/>
        </w:numPr>
        <w:rPr>
          <w:rFonts w:cs="Arial"/>
          <w:sz w:val="20"/>
          <w:szCs w:val="20"/>
        </w:rPr>
      </w:pPr>
      <w:r>
        <w:rPr>
          <w:rFonts w:cs="Arial"/>
          <w:sz w:val="20"/>
          <w:szCs w:val="20"/>
        </w:rPr>
        <w:t xml:space="preserve">CNO Practice Standard – Confidentiality and Privacy: Personal Health Information Revised 2005 accessed </w:t>
      </w:r>
      <w:hyperlink r:id="rId13" w:history="1">
        <w:r w:rsidRPr="00A13D41">
          <w:rPr>
            <w:rStyle w:val="Hyperlink"/>
            <w:rFonts w:cs="Arial"/>
            <w:sz w:val="20"/>
            <w:szCs w:val="20"/>
          </w:rPr>
          <w:t>http://www.cno.org/docs/prac/41069_privacy.pdf</w:t>
        </w:r>
      </w:hyperlink>
      <w:r>
        <w:rPr>
          <w:rFonts w:cs="Arial"/>
          <w:sz w:val="20"/>
          <w:szCs w:val="20"/>
          <w:lang w:val="en-US"/>
        </w:rPr>
        <w:t xml:space="preserve"> </w:t>
      </w:r>
    </w:p>
    <w:p w:rsidR="007B4FF9" w:rsidRPr="007C3BC1" w:rsidRDefault="007B4FF9" w:rsidP="007C3BC1">
      <w:pPr>
        <w:numPr>
          <w:ilvl w:val="0"/>
          <w:numId w:val="6"/>
        </w:numPr>
        <w:rPr>
          <w:rFonts w:cs="Arial"/>
          <w:sz w:val="20"/>
          <w:szCs w:val="20"/>
        </w:rPr>
      </w:pPr>
      <w:r>
        <w:rPr>
          <w:rFonts w:cs="Arial"/>
          <w:sz w:val="20"/>
          <w:szCs w:val="20"/>
        </w:rPr>
        <w:t xml:space="preserve">CNO Practice Standard – Infection Prevention and Control Revised 2005, accessed </w:t>
      </w:r>
      <w:hyperlink r:id="rId14" w:history="1">
        <w:r w:rsidRPr="00A13D41">
          <w:rPr>
            <w:rStyle w:val="Hyperlink"/>
            <w:rFonts w:cs="Arial"/>
            <w:sz w:val="20"/>
            <w:szCs w:val="20"/>
          </w:rPr>
          <w:t>http://www.cno.org/docs/prac/41002_infection.pdf</w:t>
        </w:r>
      </w:hyperlink>
      <w:r>
        <w:rPr>
          <w:rFonts w:cs="Arial"/>
          <w:sz w:val="20"/>
          <w:szCs w:val="20"/>
          <w:lang w:val="en-US"/>
        </w:rPr>
        <w:t xml:space="preserve"> </w:t>
      </w:r>
    </w:p>
    <w:p w:rsidR="001F3165" w:rsidRPr="007C3BC1" w:rsidRDefault="001F3165">
      <w:pPr>
        <w:rPr>
          <w:rFonts w:cs="Arial"/>
          <w:sz w:val="20"/>
          <w:szCs w:val="20"/>
        </w:rPr>
      </w:pPr>
    </w:p>
    <w:p w:rsidR="001F3165" w:rsidRDefault="001F3165">
      <w:pPr>
        <w:pStyle w:val="Heading1"/>
      </w:pPr>
      <w:r>
        <w:t>STUDENT EVALUATION</w:t>
      </w:r>
    </w:p>
    <w:p w:rsidR="001F3165" w:rsidRDefault="001F3165">
      <w:pPr>
        <w:rPr>
          <w:sz w:val="22"/>
        </w:rPr>
      </w:pPr>
      <w:r>
        <w:rPr>
          <w:sz w:val="22"/>
        </w:rPr>
        <w:t>Students will:</w:t>
      </w:r>
    </w:p>
    <w:p w:rsidR="001F3165" w:rsidRDefault="001F3165">
      <w:pPr>
        <w:rPr>
          <w:sz w:val="22"/>
        </w:rPr>
      </w:pPr>
    </w:p>
    <w:p w:rsidR="001F3165" w:rsidRDefault="001F3165">
      <w:pPr>
        <w:rPr>
          <w:sz w:val="22"/>
        </w:rPr>
      </w:pPr>
      <w:r>
        <w:rPr>
          <w:sz w:val="22"/>
        </w:rPr>
        <w:t>Attend both the theory and lab practice components of the workshop.</w:t>
      </w:r>
    </w:p>
    <w:p w:rsidR="001F3165" w:rsidRDefault="001F3165">
      <w:pPr>
        <w:rPr>
          <w:sz w:val="22"/>
        </w:rPr>
      </w:pPr>
    </w:p>
    <w:p w:rsidR="001F3165" w:rsidRDefault="001F3165">
      <w:pPr>
        <w:rPr>
          <w:sz w:val="22"/>
        </w:rPr>
      </w:pPr>
      <w:r>
        <w:rPr>
          <w:sz w:val="22"/>
        </w:rPr>
        <w:t>Successfully complete</w:t>
      </w:r>
    </w:p>
    <w:p w:rsidR="001F3165" w:rsidRDefault="001F3165">
      <w:pPr>
        <w:numPr>
          <w:ilvl w:val="0"/>
          <w:numId w:val="7"/>
        </w:numPr>
        <w:rPr>
          <w:sz w:val="22"/>
        </w:rPr>
      </w:pPr>
      <w:r>
        <w:rPr>
          <w:sz w:val="22"/>
        </w:rPr>
        <w:t xml:space="preserve">Administration of Medication Math Calculation Quiz – IM Injections – </w:t>
      </w:r>
      <w:r w:rsidR="00362C48">
        <w:rPr>
          <w:sz w:val="22"/>
        </w:rPr>
        <w:t xml:space="preserve">passing mark is </w:t>
      </w:r>
      <w:r>
        <w:rPr>
          <w:sz w:val="22"/>
        </w:rPr>
        <w:t>75%</w:t>
      </w:r>
    </w:p>
    <w:p w:rsidR="001F3165" w:rsidRDefault="001F3165">
      <w:pPr>
        <w:numPr>
          <w:ilvl w:val="0"/>
          <w:numId w:val="7"/>
        </w:numPr>
        <w:rPr>
          <w:sz w:val="22"/>
        </w:rPr>
      </w:pPr>
      <w:r>
        <w:rPr>
          <w:sz w:val="22"/>
        </w:rPr>
        <w:t xml:space="preserve">IM Injection Theory and Clinical Application Test – </w:t>
      </w:r>
      <w:r w:rsidR="00362C48">
        <w:rPr>
          <w:sz w:val="22"/>
        </w:rPr>
        <w:t xml:space="preserve">passing mark is </w:t>
      </w:r>
      <w:r>
        <w:rPr>
          <w:sz w:val="22"/>
        </w:rPr>
        <w:t>75%</w:t>
      </w:r>
    </w:p>
    <w:p w:rsidR="001F3165" w:rsidRDefault="001F3165">
      <w:pPr>
        <w:numPr>
          <w:ilvl w:val="0"/>
          <w:numId w:val="7"/>
        </w:numPr>
        <w:rPr>
          <w:sz w:val="22"/>
        </w:rPr>
      </w:pPr>
      <w:r>
        <w:rPr>
          <w:sz w:val="22"/>
        </w:rPr>
        <w:t>Return Demonstration of IM Injections – Skills Checklist (pass in all areas)</w:t>
      </w:r>
    </w:p>
    <w:p w:rsidR="001F3165" w:rsidRDefault="001F3165">
      <w:pPr>
        <w:widowControl w:val="0"/>
        <w:rPr>
          <w:sz w:val="22"/>
        </w:rPr>
      </w:pPr>
    </w:p>
    <w:p w:rsidR="001F3165" w:rsidRDefault="001F3165">
      <w:pPr>
        <w:widowControl w:val="0"/>
        <w:rPr>
          <w:sz w:val="22"/>
        </w:rPr>
      </w:pPr>
      <w:r>
        <w:rPr>
          <w:sz w:val="22"/>
        </w:rPr>
        <w:t xml:space="preserve">At the end of the semester, the student will receive a final report noting his/her progress in relation to </w:t>
      </w:r>
      <w:r>
        <w:rPr>
          <w:sz w:val="22"/>
        </w:rPr>
        <w:lastRenderedPageBreak/>
        <w:t>the learning outcomes.  The student’s progress will be recorded using the following grades.</w:t>
      </w:r>
    </w:p>
    <w:p w:rsidR="001F3165" w:rsidRDefault="001F3165">
      <w:pPr>
        <w:widowControl w:val="0"/>
        <w:rPr>
          <w:sz w:val="22"/>
        </w:rPr>
      </w:pPr>
    </w:p>
    <w:p w:rsidR="001F3165" w:rsidRDefault="001F3165">
      <w:pPr>
        <w:widowControl w:val="0"/>
        <w:rPr>
          <w:rFonts w:cs="Arial"/>
          <w:sz w:val="22"/>
        </w:rPr>
      </w:pPr>
      <w:r>
        <w:rPr>
          <w:b/>
          <w:bCs/>
          <w:sz w:val="22"/>
        </w:rPr>
        <w:t>S</w:t>
      </w:r>
      <w:r>
        <w:rPr>
          <w:sz w:val="22"/>
        </w:rPr>
        <w:t xml:space="preserve"> - </w:t>
      </w:r>
      <w:r>
        <w:rPr>
          <w:rFonts w:cs="Arial"/>
          <w:sz w:val="22"/>
        </w:rPr>
        <w:t>Satisfactory achievement in field /clinical placement or non-graded subject area.</w:t>
      </w:r>
    </w:p>
    <w:p w:rsidR="001F3165" w:rsidRDefault="001F3165">
      <w:pPr>
        <w:widowControl w:val="0"/>
        <w:rPr>
          <w:rFonts w:cs="Arial"/>
          <w:sz w:val="22"/>
        </w:rPr>
      </w:pPr>
    </w:p>
    <w:p w:rsidR="001F3165" w:rsidRDefault="001F3165">
      <w:pPr>
        <w:widowControl w:val="0"/>
        <w:rPr>
          <w:rFonts w:cs="Arial"/>
          <w:sz w:val="22"/>
        </w:rPr>
      </w:pPr>
      <w:r>
        <w:rPr>
          <w:rFonts w:cs="Arial"/>
          <w:b/>
          <w:bCs/>
          <w:sz w:val="22"/>
        </w:rPr>
        <w:t xml:space="preserve">U </w:t>
      </w:r>
      <w:r>
        <w:rPr>
          <w:rFonts w:cs="Arial"/>
          <w:sz w:val="22"/>
        </w:rPr>
        <w:t>- Unsatisfactory achievement in field/clinical placement or non-graded subject area</w:t>
      </w:r>
    </w:p>
    <w:p w:rsidR="001F3165" w:rsidRDefault="001F3165">
      <w:pPr>
        <w:pStyle w:val="coBody"/>
        <w:rPr>
          <w:sz w:val="22"/>
        </w:rPr>
      </w:pPr>
    </w:p>
    <w:p w:rsidR="001F3165" w:rsidRDefault="001F3165">
      <w:pPr>
        <w:pStyle w:val="coBody"/>
        <w:rPr>
          <w:sz w:val="22"/>
        </w:rPr>
      </w:pPr>
    </w:p>
    <w:tbl>
      <w:tblPr>
        <w:tblW w:w="10778" w:type="dxa"/>
        <w:tblLayout w:type="fixed"/>
        <w:tblLook w:val="0000" w:firstRow="0" w:lastRow="0" w:firstColumn="0" w:lastColumn="0" w:noHBand="0" w:noVBand="0"/>
      </w:tblPr>
      <w:tblGrid>
        <w:gridCol w:w="2448"/>
        <w:gridCol w:w="8330"/>
      </w:tblGrid>
      <w:tr w:rsidR="001F3165">
        <w:tc>
          <w:tcPr>
            <w:tcW w:w="2448" w:type="dxa"/>
          </w:tcPr>
          <w:p w:rsidR="001F3165" w:rsidRDefault="001F3165">
            <w:pPr>
              <w:pStyle w:val="coHeading"/>
              <w:rPr>
                <w:sz w:val="22"/>
              </w:rPr>
            </w:pPr>
          </w:p>
        </w:tc>
        <w:tc>
          <w:tcPr>
            <w:tcW w:w="8330" w:type="dxa"/>
          </w:tcPr>
          <w:p w:rsidR="001F3165" w:rsidRDefault="001F3165">
            <w:pPr>
              <w:pStyle w:val="coBody"/>
              <w:rPr>
                <w:sz w:val="22"/>
              </w:rPr>
            </w:pPr>
          </w:p>
        </w:tc>
      </w:tr>
      <w:tr w:rsidR="001F3165">
        <w:tc>
          <w:tcPr>
            <w:tcW w:w="2448" w:type="dxa"/>
          </w:tcPr>
          <w:p w:rsidR="001F3165" w:rsidRDefault="001F3165">
            <w:pPr>
              <w:pStyle w:val="coHeading"/>
              <w:rPr>
                <w:sz w:val="22"/>
              </w:rPr>
            </w:pPr>
            <w:r>
              <w:rPr>
                <w:sz w:val="22"/>
              </w:rPr>
              <w:t>Academic Manager Signature</w:t>
            </w:r>
          </w:p>
        </w:tc>
        <w:tc>
          <w:tcPr>
            <w:tcW w:w="8330" w:type="dxa"/>
            <w:vAlign w:val="bottom"/>
          </w:tcPr>
          <w:p w:rsidR="00362C48" w:rsidRDefault="0081055C">
            <w:pPr>
              <w:pStyle w:val="coBody"/>
              <w:rPr>
                <w:sz w:val="22"/>
              </w:rPr>
            </w:pPr>
            <w:r>
              <w:rPr>
                <w:sz w:val="22"/>
              </w:rPr>
              <w:t>“</w:t>
            </w:r>
            <w:r w:rsidR="00362C48">
              <w:rPr>
                <w:sz w:val="22"/>
              </w:rPr>
              <w:t>Laurie Poirier</w:t>
            </w:r>
            <w:r>
              <w:rPr>
                <w:sz w:val="22"/>
              </w:rPr>
              <w:t>”</w:t>
            </w:r>
          </w:p>
          <w:p w:rsidR="00362C48" w:rsidRDefault="007B4FF9">
            <w:pPr>
              <w:pStyle w:val="coBody"/>
              <w:rPr>
                <w:sz w:val="22"/>
              </w:rPr>
            </w:pPr>
            <w:r>
              <w:rPr>
                <w:sz w:val="22"/>
              </w:rPr>
              <w:t xml:space="preserve">Chair, </w:t>
            </w:r>
            <w:smartTag w:uri="urn:schemas-microsoft-com:office:smarttags" w:element="place">
              <w:smartTag w:uri="urn:schemas-microsoft-com:office:smarttags" w:element="PlaceType">
                <w:r w:rsidR="00362C48">
                  <w:rPr>
                    <w:sz w:val="22"/>
                  </w:rPr>
                  <w:t>School</w:t>
                </w:r>
              </w:smartTag>
              <w:r w:rsidR="00362C48">
                <w:rPr>
                  <w:sz w:val="22"/>
                </w:rPr>
                <w:t xml:space="preserve"> of </w:t>
              </w:r>
              <w:smartTag w:uri="urn:schemas-microsoft-com:office:smarttags" w:element="PersonName">
                <w:r w:rsidR="00362C48">
                  <w:rPr>
                    <w:sz w:val="22"/>
                  </w:rPr>
                  <w:t>Continuing Education</w:t>
                </w:r>
              </w:smartTag>
            </w:smartTag>
          </w:p>
          <w:p w:rsidR="00362C48" w:rsidRDefault="00362C48">
            <w:pPr>
              <w:pStyle w:val="coBody"/>
              <w:rPr>
                <w:sz w:val="22"/>
              </w:rPr>
            </w:pPr>
          </w:p>
          <w:p w:rsidR="001F3165" w:rsidRDefault="001F3165">
            <w:pPr>
              <w:pStyle w:val="coBody"/>
              <w:rPr>
                <w:sz w:val="22"/>
              </w:rPr>
            </w:pPr>
            <w:r>
              <w:rPr>
                <w:sz w:val="22"/>
              </w:rPr>
              <w:t>……………………………</w:t>
            </w:r>
          </w:p>
        </w:tc>
      </w:tr>
    </w:tbl>
    <w:p w:rsidR="001F3165" w:rsidRDefault="001F3165">
      <w:pPr>
        <w:pStyle w:val="coBody"/>
        <w:rPr>
          <w:sz w:val="22"/>
        </w:rPr>
      </w:pPr>
    </w:p>
    <w:p w:rsidR="001F3165" w:rsidRDefault="001F3165">
      <w:pPr>
        <w:widowControl w:val="0"/>
        <w:rPr>
          <w:sz w:val="22"/>
        </w:rPr>
      </w:pPr>
    </w:p>
    <w:tbl>
      <w:tblPr>
        <w:tblpPr w:leftFromText="180" w:rightFromText="180" w:vertAnchor="text" w:horzAnchor="margin" w:tblpY="977"/>
        <w:tblW w:w="10800" w:type="dxa"/>
        <w:tblLayout w:type="fixed"/>
        <w:tblLook w:val="0000" w:firstRow="0" w:lastRow="0" w:firstColumn="0" w:lastColumn="0" w:noHBand="0" w:noVBand="0"/>
      </w:tblPr>
      <w:tblGrid>
        <w:gridCol w:w="2970"/>
        <w:gridCol w:w="7830"/>
      </w:tblGrid>
      <w:tr w:rsidR="001F3165">
        <w:trPr>
          <w:cantSplit/>
        </w:trPr>
        <w:tc>
          <w:tcPr>
            <w:tcW w:w="2970" w:type="dxa"/>
          </w:tcPr>
          <w:p w:rsidR="001F3165" w:rsidRDefault="001F3165">
            <w:pPr>
              <w:pStyle w:val="coBody"/>
              <w:rPr>
                <w:sz w:val="22"/>
              </w:rPr>
            </w:pPr>
            <w:r>
              <w:rPr>
                <w:sz w:val="22"/>
                <w:lang w:val="en-GB"/>
              </w:rPr>
              <w:t>NOTICE TO ALL STUDENTS:</w:t>
            </w:r>
          </w:p>
        </w:tc>
        <w:tc>
          <w:tcPr>
            <w:tcW w:w="7830" w:type="dxa"/>
          </w:tcPr>
          <w:p w:rsidR="001F3165" w:rsidRDefault="001F3165">
            <w:pPr>
              <w:pStyle w:val="coBody"/>
              <w:rPr>
                <w:sz w:val="22"/>
              </w:rPr>
            </w:pPr>
            <w:r>
              <w:rPr>
                <w:sz w:val="22"/>
                <w:lang w:val="en-GB"/>
              </w:rPr>
              <w:t>We urge you to retain this course outline for future reference. There is a charge for additional copies.</w:t>
            </w:r>
          </w:p>
          <w:p w:rsidR="001F3165" w:rsidRDefault="001F3165">
            <w:pPr>
              <w:pStyle w:val="coBody"/>
              <w:rPr>
                <w:sz w:val="22"/>
              </w:rPr>
            </w:pPr>
          </w:p>
        </w:tc>
      </w:tr>
    </w:tbl>
    <w:p w:rsidR="001F3165" w:rsidRDefault="001F3165">
      <w:pPr>
        <w:widowControl w:val="0"/>
        <w:rPr>
          <w:sz w:val="22"/>
        </w:rPr>
      </w:pPr>
    </w:p>
    <w:sectPr w:rsidR="001F3165">
      <w:headerReference w:type="even" r:id="rId15"/>
      <w:headerReference w:type="default" r:id="rId16"/>
      <w:pgSz w:w="12240" w:h="15840"/>
      <w:pgMar w:top="1296" w:right="1152" w:bottom="1296"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413" w:rsidRDefault="00767413">
      <w:r>
        <w:separator/>
      </w:r>
    </w:p>
  </w:endnote>
  <w:endnote w:type="continuationSeparator" w:id="0">
    <w:p w:rsidR="00767413" w:rsidRDefault="0076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413" w:rsidRDefault="00767413">
      <w:r>
        <w:separator/>
      </w:r>
    </w:p>
  </w:footnote>
  <w:footnote w:type="continuationSeparator" w:id="0">
    <w:p w:rsidR="00767413" w:rsidRDefault="00767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C3" w:rsidRDefault="00E708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708C3" w:rsidRDefault="00E708C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C3" w:rsidRDefault="00E708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6F0E">
      <w:rPr>
        <w:rStyle w:val="PageNumber"/>
        <w:noProof/>
      </w:rPr>
      <w:t>1</w:t>
    </w:r>
    <w:r>
      <w:rPr>
        <w:rStyle w:val="PageNumber"/>
      </w:rPr>
      <w:fldChar w:fldCharType="end"/>
    </w:r>
  </w:p>
  <w:p w:rsidR="00E708C3" w:rsidRDefault="00E708C3">
    <w:pPr>
      <w:pStyle w:val="Header"/>
      <w:ind w:right="360"/>
    </w:pPr>
    <w:r>
      <w:t>Course Outline</w:t>
    </w:r>
    <w:r>
      <w:tab/>
      <w:t>CED1154 – IM Injection Workshop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95D03"/>
    <w:multiLevelType w:val="hybridMultilevel"/>
    <w:tmpl w:val="0DD4B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3D518E"/>
    <w:multiLevelType w:val="hybridMultilevel"/>
    <w:tmpl w:val="DD4EAA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6DC541A"/>
    <w:multiLevelType w:val="hybridMultilevel"/>
    <w:tmpl w:val="48509C90"/>
    <w:lvl w:ilvl="0" w:tplc="3B76A78C">
      <w:start w:val="1"/>
      <w:numFmt w:val="decimal"/>
      <w:lvlText w:val="%1."/>
      <w:lvlJc w:val="left"/>
      <w:pPr>
        <w:tabs>
          <w:tab w:val="num" w:pos="480"/>
        </w:tabs>
        <w:ind w:left="480" w:hanging="48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DCD33F8"/>
    <w:multiLevelType w:val="hybridMultilevel"/>
    <w:tmpl w:val="F4FC2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0072A5"/>
    <w:multiLevelType w:val="hybridMultilevel"/>
    <w:tmpl w:val="FD343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0E204A"/>
    <w:multiLevelType w:val="hybridMultilevel"/>
    <w:tmpl w:val="07D6DD1A"/>
    <w:lvl w:ilvl="0" w:tplc="E6028B16">
      <w:start w:val="1"/>
      <w:numFmt w:val="decimal"/>
      <w:lvlText w:val="%1."/>
      <w:lvlJc w:val="left"/>
      <w:pPr>
        <w:tabs>
          <w:tab w:val="num" w:pos="720"/>
        </w:tabs>
        <w:ind w:left="720" w:hanging="360"/>
      </w:pPr>
    </w:lvl>
    <w:lvl w:ilvl="1" w:tplc="328819C0">
      <w:numFmt w:val="none"/>
      <w:lvlText w:val=""/>
      <w:lvlJc w:val="left"/>
      <w:pPr>
        <w:tabs>
          <w:tab w:val="num" w:pos="360"/>
        </w:tabs>
      </w:pPr>
    </w:lvl>
    <w:lvl w:ilvl="2" w:tplc="4CA4B45E">
      <w:numFmt w:val="none"/>
      <w:lvlText w:val=""/>
      <w:lvlJc w:val="left"/>
      <w:pPr>
        <w:tabs>
          <w:tab w:val="num" w:pos="360"/>
        </w:tabs>
      </w:pPr>
    </w:lvl>
    <w:lvl w:ilvl="3" w:tplc="EDA8F94C">
      <w:numFmt w:val="none"/>
      <w:lvlText w:val=""/>
      <w:lvlJc w:val="left"/>
      <w:pPr>
        <w:tabs>
          <w:tab w:val="num" w:pos="360"/>
        </w:tabs>
      </w:pPr>
    </w:lvl>
    <w:lvl w:ilvl="4" w:tplc="6C9C08D4">
      <w:numFmt w:val="none"/>
      <w:lvlText w:val=""/>
      <w:lvlJc w:val="left"/>
      <w:pPr>
        <w:tabs>
          <w:tab w:val="num" w:pos="360"/>
        </w:tabs>
      </w:pPr>
    </w:lvl>
    <w:lvl w:ilvl="5" w:tplc="EF58934C">
      <w:numFmt w:val="none"/>
      <w:lvlText w:val=""/>
      <w:lvlJc w:val="left"/>
      <w:pPr>
        <w:tabs>
          <w:tab w:val="num" w:pos="360"/>
        </w:tabs>
      </w:pPr>
    </w:lvl>
    <w:lvl w:ilvl="6" w:tplc="4F609E56">
      <w:numFmt w:val="none"/>
      <w:lvlText w:val=""/>
      <w:lvlJc w:val="left"/>
      <w:pPr>
        <w:tabs>
          <w:tab w:val="num" w:pos="360"/>
        </w:tabs>
      </w:pPr>
    </w:lvl>
    <w:lvl w:ilvl="7" w:tplc="C93CA2FE">
      <w:numFmt w:val="none"/>
      <w:lvlText w:val=""/>
      <w:lvlJc w:val="left"/>
      <w:pPr>
        <w:tabs>
          <w:tab w:val="num" w:pos="360"/>
        </w:tabs>
      </w:pPr>
    </w:lvl>
    <w:lvl w:ilvl="8" w:tplc="5ADE7238">
      <w:numFmt w:val="none"/>
      <w:lvlText w:val=""/>
      <w:lvlJc w:val="left"/>
      <w:pPr>
        <w:tabs>
          <w:tab w:val="num" w:pos="360"/>
        </w:tabs>
      </w:pPr>
    </w:lvl>
  </w:abstractNum>
  <w:abstractNum w:abstractNumId="6">
    <w:nsid w:val="5A605762"/>
    <w:multiLevelType w:val="hybridMultilevel"/>
    <w:tmpl w:val="48509C9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8E6"/>
    <w:rsid w:val="000E6AB7"/>
    <w:rsid w:val="001F3165"/>
    <w:rsid w:val="00313207"/>
    <w:rsid w:val="00362C48"/>
    <w:rsid w:val="003E38E6"/>
    <w:rsid w:val="0041083D"/>
    <w:rsid w:val="00427C08"/>
    <w:rsid w:val="00553E51"/>
    <w:rsid w:val="00716F0E"/>
    <w:rsid w:val="00767413"/>
    <w:rsid w:val="007A1AE1"/>
    <w:rsid w:val="007B4FF9"/>
    <w:rsid w:val="007C3BC1"/>
    <w:rsid w:val="007C3F4D"/>
    <w:rsid w:val="0081055C"/>
    <w:rsid w:val="00C454A6"/>
    <w:rsid w:val="00C8136A"/>
    <w:rsid w:val="00CC4329"/>
    <w:rsid w:val="00D1091E"/>
    <w:rsid w:val="00D33F48"/>
    <w:rsid w:val="00D3457E"/>
    <w:rsid w:val="00E708C3"/>
    <w:rsid w:val="00F166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sz w:val="20"/>
      <w:u w:val="single"/>
    </w:rPr>
  </w:style>
  <w:style w:type="paragraph" w:styleId="Heading2">
    <w:name w:val="heading 2"/>
    <w:basedOn w:val="Normal"/>
    <w:next w:val="Normal"/>
    <w:qFormat/>
    <w:pPr>
      <w:keepNext/>
      <w:outlineLvl w:val="1"/>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Body">
    <w:name w:val="coBody"/>
    <w:basedOn w:val="Normal"/>
    <w:rPr>
      <w:sz w:val="20"/>
      <w:szCs w:val="20"/>
      <w:lang w:val="en-US"/>
    </w:rPr>
  </w:style>
  <w:style w:type="paragraph" w:customStyle="1" w:styleId="coHeading">
    <w:name w:val="coHeading"/>
    <w:basedOn w:val="Normal"/>
    <w:rPr>
      <w:b/>
      <w:sz w:val="23"/>
      <w:szCs w:val="20"/>
      <w:lang w:val="en-US"/>
    </w:rPr>
  </w:style>
  <w:style w:type="paragraph" w:styleId="Footer">
    <w:name w:val="footer"/>
    <w:basedOn w:val="Normal"/>
    <w:pPr>
      <w:tabs>
        <w:tab w:val="center" w:pos="4320"/>
        <w:tab w:val="right" w:pos="8640"/>
      </w:tabs>
    </w:pPr>
    <w:rPr>
      <w:sz w:val="20"/>
      <w:szCs w:val="20"/>
      <w:lang w:val="en-US"/>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CBText">
    <w:name w:val="-CBText"/>
    <w:pPr>
      <w:widowControl w:val="0"/>
    </w:pPr>
    <w:rPr>
      <w:rFonts w:ascii="Arial"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o.org/docs/prac/41069_privacy.pdf"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cno.org/docs/policy/41020_consent.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o.org/docs/prac/41001_documentation.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no.org/docs/prac/41007_Medication.pdf"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cno.org/docs/prac/41053_fsInfluenza.pdf" TargetMode="External"/><Relationship Id="rId14" Type="http://schemas.openxmlformats.org/officeDocument/2006/relationships/hyperlink" Target="http://www.cno.org/docs/prac/41002_infe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BCD39-7149-402F-A23B-B7B0797BFF11}"/>
</file>

<file path=customXml/itemProps2.xml><?xml version="1.0" encoding="utf-8"?>
<ds:datastoreItem xmlns:ds="http://schemas.openxmlformats.org/officeDocument/2006/customXml" ds:itemID="{83D308B6-5D9F-45CC-B10A-4221DA455EB8}"/>
</file>

<file path=customXml/itemProps3.xml><?xml version="1.0" encoding="utf-8"?>
<ds:datastoreItem xmlns:ds="http://schemas.openxmlformats.org/officeDocument/2006/customXml" ds:itemID="{3103A36E-B9FE-4851-B128-708D29011304}"/>
</file>

<file path=docProps/app.xml><?xml version="1.0" encoding="utf-8"?>
<Properties xmlns="http://schemas.openxmlformats.org/officeDocument/2006/extended-properties" xmlns:vt="http://schemas.openxmlformats.org/officeDocument/2006/docPropsVTypes">
  <Template>Normal.dotm</Template>
  <TotalTime>2</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05W – CED1034</vt:lpstr>
    </vt:vector>
  </TitlesOfParts>
  <Company>Sault College of Applied Arts &amp; Technology</Company>
  <LinksUpToDate>false</LinksUpToDate>
  <CharactersWithSpaces>5478</CharactersWithSpaces>
  <SharedDoc>false</SharedDoc>
  <HLinks>
    <vt:vector size="36" baseType="variant">
      <vt:variant>
        <vt:i4>6094955</vt:i4>
      </vt:variant>
      <vt:variant>
        <vt:i4>15</vt:i4>
      </vt:variant>
      <vt:variant>
        <vt:i4>0</vt:i4>
      </vt:variant>
      <vt:variant>
        <vt:i4>5</vt:i4>
      </vt:variant>
      <vt:variant>
        <vt:lpwstr>http://www.cno.org/docs/prac/41002_infection.pdf</vt:lpwstr>
      </vt:variant>
      <vt:variant>
        <vt:lpwstr/>
      </vt:variant>
      <vt:variant>
        <vt:i4>3932186</vt:i4>
      </vt:variant>
      <vt:variant>
        <vt:i4>12</vt:i4>
      </vt:variant>
      <vt:variant>
        <vt:i4>0</vt:i4>
      </vt:variant>
      <vt:variant>
        <vt:i4>5</vt:i4>
      </vt:variant>
      <vt:variant>
        <vt:lpwstr>http://www.cno.org/docs/prac/41069_privacy.pdf</vt:lpwstr>
      </vt:variant>
      <vt:variant>
        <vt:lpwstr/>
      </vt:variant>
      <vt:variant>
        <vt:i4>4587621</vt:i4>
      </vt:variant>
      <vt:variant>
        <vt:i4>9</vt:i4>
      </vt:variant>
      <vt:variant>
        <vt:i4>0</vt:i4>
      </vt:variant>
      <vt:variant>
        <vt:i4>5</vt:i4>
      </vt:variant>
      <vt:variant>
        <vt:lpwstr>http://www.cno.org/docs/policy/41020_consent.pdf</vt:lpwstr>
      </vt:variant>
      <vt:variant>
        <vt:lpwstr/>
      </vt:variant>
      <vt:variant>
        <vt:i4>5701739</vt:i4>
      </vt:variant>
      <vt:variant>
        <vt:i4>6</vt:i4>
      </vt:variant>
      <vt:variant>
        <vt:i4>0</vt:i4>
      </vt:variant>
      <vt:variant>
        <vt:i4>5</vt:i4>
      </vt:variant>
      <vt:variant>
        <vt:lpwstr>http://www.cno.org/docs/prac/41001_documentation.pdf</vt:lpwstr>
      </vt:variant>
      <vt:variant>
        <vt:lpwstr/>
      </vt:variant>
      <vt:variant>
        <vt:i4>1966123</vt:i4>
      </vt:variant>
      <vt:variant>
        <vt:i4>3</vt:i4>
      </vt:variant>
      <vt:variant>
        <vt:i4>0</vt:i4>
      </vt:variant>
      <vt:variant>
        <vt:i4>5</vt:i4>
      </vt:variant>
      <vt:variant>
        <vt:lpwstr>http://www.cno.org/docs/prac/41007_Medication.pdf</vt:lpwstr>
      </vt:variant>
      <vt:variant>
        <vt:lpwstr/>
      </vt:variant>
      <vt:variant>
        <vt:i4>2359312</vt:i4>
      </vt:variant>
      <vt:variant>
        <vt:i4>0</vt:i4>
      </vt:variant>
      <vt:variant>
        <vt:i4>0</vt:i4>
      </vt:variant>
      <vt:variant>
        <vt:i4>5</vt:i4>
      </vt:variant>
      <vt:variant>
        <vt:lpwstr>http://www.cno.org/docs/prac/41053_fsInfluenza.pdf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05W – CED1034</dc:title>
  <dc:creator>Laurie Poirier</dc:creator>
  <cp:lastModifiedBy>Windows User</cp:lastModifiedBy>
  <cp:revision>3</cp:revision>
  <cp:lastPrinted>2012-11-05T15:36:00Z</cp:lastPrinted>
  <dcterms:created xsi:type="dcterms:W3CDTF">2009-09-24T19:43:00Z</dcterms:created>
  <dcterms:modified xsi:type="dcterms:W3CDTF">2012-11-05T15:36:00Z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9572200</vt:r8>
  </property>
</Properties>
</file>